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4570EDDD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D25FC4">
        <w:rPr>
          <w:rFonts w:ascii="Arial" w:eastAsia="Times New Roman" w:hAnsi="Arial" w:cs="Arial"/>
          <w:b/>
          <w:bCs/>
        </w:rPr>
        <w:t>NEW MEXICO STATE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8550"/>
      </w:tblGrid>
      <w:tr w:rsidR="002533A1" w:rsidRPr="002533A1" w14:paraId="42D6AE9D" w14:textId="77777777" w:rsidTr="00691147">
        <w:trPr>
          <w:jc w:val="center"/>
        </w:trPr>
        <w:tc>
          <w:tcPr>
            <w:tcW w:w="12595" w:type="dxa"/>
            <w:gridSpan w:val="2"/>
            <w:shd w:val="clear" w:color="auto" w:fill="E7E6E6" w:themeFill="background2"/>
          </w:tcPr>
          <w:p w14:paraId="715772A9" w14:textId="14B2EE44" w:rsidR="00E07C20" w:rsidRPr="002533A1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533A1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0F068A" w:rsidRPr="002533A1">
              <w:rPr>
                <w:rFonts w:ascii="Arial" w:eastAsia="Times New Roman" w:hAnsi="Arial" w:cs="Arial"/>
                <w:b/>
              </w:rPr>
              <w:t>Senior Field Evaluation</w:t>
            </w:r>
          </w:p>
        </w:tc>
      </w:tr>
      <w:tr w:rsidR="002533A1" w:rsidRPr="002533A1" w14:paraId="2B6D1348" w14:textId="77777777" w:rsidTr="00691147">
        <w:trPr>
          <w:jc w:val="center"/>
        </w:trPr>
        <w:tc>
          <w:tcPr>
            <w:tcW w:w="4045" w:type="dxa"/>
          </w:tcPr>
          <w:p w14:paraId="4C9D9629" w14:textId="01607FDC" w:rsidR="00E07C20" w:rsidRPr="002533A1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Competency</w:t>
            </w:r>
            <w:r w:rsidR="00A848FE" w:rsidRPr="002533A1">
              <w:rPr>
                <w:rFonts w:ascii="Arial" w:eastAsia="Times New Roman" w:hAnsi="Arial" w:cs="Arial"/>
              </w:rPr>
              <w:t>(</w:t>
            </w:r>
            <w:proofErr w:type="spellStart"/>
            <w:r w:rsidRPr="002533A1">
              <w:rPr>
                <w:rFonts w:ascii="Arial" w:eastAsia="Times New Roman" w:hAnsi="Arial" w:cs="Arial"/>
              </w:rPr>
              <w:t>ies</w:t>
            </w:r>
            <w:proofErr w:type="spellEnd"/>
            <w:r w:rsidR="00A848FE" w:rsidRPr="002533A1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50" w:type="dxa"/>
          </w:tcPr>
          <w:p w14:paraId="54967756" w14:textId="7DBEE2B5" w:rsidR="00E07C20" w:rsidRPr="002533A1" w:rsidRDefault="000F068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Nine competencies</w:t>
            </w:r>
          </w:p>
        </w:tc>
      </w:tr>
      <w:tr w:rsidR="002533A1" w:rsidRPr="002533A1" w14:paraId="55CAD6B8" w14:textId="77777777" w:rsidTr="00691147">
        <w:trPr>
          <w:jc w:val="center"/>
        </w:trPr>
        <w:tc>
          <w:tcPr>
            <w:tcW w:w="4045" w:type="dxa"/>
          </w:tcPr>
          <w:p w14:paraId="52314C94" w14:textId="08CB104E" w:rsidR="006A7000" w:rsidRPr="002533A1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Dimension(s) assessed:</w:t>
            </w:r>
          </w:p>
          <w:p w14:paraId="713D26D9" w14:textId="52083A9B" w:rsidR="00691147" w:rsidRPr="002533A1" w:rsidRDefault="00691147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E2DA579" w14:textId="77777777" w:rsidR="00691147" w:rsidRPr="002533A1" w:rsidRDefault="00691147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815296A" w14:textId="6B3F97A0" w:rsidR="000E333E" w:rsidRPr="002533A1" w:rsidRDefault="000E333E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50" w:type="dxa"/>
          </w:tcPr>
          <w:p w14:paraId="7EE29714" w14:textId="36FFB3F9" w:rsidR="006A7000" w:rsidRPr="002533A1" w:rsidRDefault="002533A1" w:rsidP="00731712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Knowledge, Skills, Values, Cognitive/Affective Processes are assessed. </w:t>
            </w:r>
            <w:r w:rsidR="003A23AB">
              <w:rPr>
                <w:rFonts w:ascii="Arial" w:eastAsia="Times New Roman" w:hAnsi="Arial" w:cs="Arial"/>
              </w:rPr>
              <w:t>(</w:t>
            </w:r>
            <w:r w:rsidRPr="002533A1">
              <w:rPr>
                <w:rFonts w:ascii="Arial" w:eastAsia="Times New Roman" w:hAnsi="Arial" w:cs="Arial"/>
              </w:rPr>
              <w:t>See BSW Generalist Practice Curriculum Matrix, pgs. 29-57 of BSW Self-Study Volume 1</w:t>
            </w:r>
            <w:r w:rsidR="003A23AB">
              <w:rPr>
                <w:rFonts w:ascii="Arial" w:eastAsia="Times New Roman" w:hAnsi="Arial" w:cs="Arial"/>
              </w:rPr>
              <w:t>)</w:t>
            </w:r>
          </w:p>
        </w:tc>
      </w:tr>
      <w:tr w:rsidR="002533A1" w:rsidRPr="002533A1" w14:paraId="39850034" w14:textId="77777777" w:rsidTr="00691147">
        <w:trPr>
          <w:jc w:val="center"/>
        </w:trPr>
        <w:tc>
          <w:tcPr>
            <w:tcW w:w="4045" w:type="dxa"/>
          </w:tcPr>
          <w:p w14:paraId="19F6F9DE" w14:textId="77777777" w:rsidR="00E07C20" w:rsidRPr="002533A1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When/where students are assessed:</w:t>
            </w:r>
          </w:p>
          <w:p w14:paraId="5038D4EE" w14:textId="77777777" w:rsidR="00691147" w:rsidRPr="002533A1" w:rsidRDefault="00691147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4531B603" w14:textId="7B5C1095" w:rsidR="00691147" w:rsidRPr="002533A1" w:rsidRDefault="00691147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50" w:type="dxa"/>
          </w:tcPr>
          <w:p w14:paraId="10A88F91" w14:textId="53D83591" w:rsidR="00E07C20" w:rsidRPr="002533A1" w:rsidRDefault="000F068A" w:rsidP="00371795">
            <w:pPr>
              <w:textAlignment w:val="baseline"/>
              <w:rPr>
                <w:rFonts w:ascii="Arial" w:eastAsia="Calibri" w:hAnsi="Arial" w:cs="Arial"/>
                <w:spacing w:val="-3"/>
              </w:rPr>
            </w:pPr>
            <w:r w:rsidRPr="002533A1">
              <w:rPr>
                <w:rFonts w:ascii="Arial" w:eastAsia="Calibri" w:hAnsi="Arial" w:cs="Arial"/>
                <w:spacing w:val="-3"/>
              </w:rPr>
              <w:t>The Field Evaluations take place over the course of the BSW students’ final semester of internship.</w:t>
            </w:r>
            <w:r w:rsidR="00423A6C" w:rsidRPr="002533A1">
              <w:rPr>
                <w:rFonts w:ascii="Arial" w:eastAsia="Calibri" w:hAnsi="Arial" w:cs="Arial"/>
                <w:spacing w:val="-3"/>
              </w:rPr>
              <w:t xml:space="preserve"> Field Instructors submit these assessments electronically to the School of Social Work through </w:t>
            </w:r>
            <w:proofErr w:type="spellStart"/>
            <w:r w:rsidR="00423A6C" w:rsidRPr="002533A1">
              <w:rPr>
                <w:rFonts w:ascii="Arial" w:eastAsia="Calibri" w:hAnsi="Arial" w:cs="Arial"/>
                <w:spacing w:val="-3"/>
              </w:rPr>
              <w:t>Tevera</w:t>
            </w:r>
            <w:proofErr w:type="spellEnd"/>
            <w:r w:rsidR="002533A1">
              <w:rPr>
                <w:rFonts w:ascii="Arial" w:eastAsia="Calibri" w:hAnsi="Arial" w:cs="Arial"/>
                <w:spacing w:val="-3"/>
              </w:rPr>
              <w:t xml:space="preserve"> field education software.</w:t>
            </w:r>
          </w:p>
          <w:p w14:paraId="4C12CCF9" w14:textId="77777777" w:rsidR="00691147" w:rsidRPr="002533A1" w:rsidRDefault="00691147" w:rsidP="00371795">
            <w:pPr>
              <w:textAlignment w:val="baseline"/>
              <w:rPr>
                <w:rFonts w:ascii="Arial" w:eastAsia="Calibri" w:hAnsi="Arial" w:cs="Arial"/>
                <w:spacing w:val="-3"/>
              </w:rPr>
            </w:pPr>
          </w:p>
          <w:p w14:paraId="1F2069BB" w14:textId="2D987023" w:rsidR="00691147" w:rsidRPr="002533A1" w:rsidRDefault="00691147" w:rsidP="004D5665">
            <w:pPr>
              <w:rPr>
                <w:rFonts w:ascii="Arial" w:eastAsia="Times New Roman" w:hAnsi="Arial" w:cs="Arial"/>
              </w:rPr>
            </w:pPr>
          </w:p>
        </w:tc>
      </w:tr>
      <w:tr w:rsidR="002533A1" w:rsidRPr="002533A1" w14:paraId="4F83E719" w14:textId="77777777" w:rsidTr="00691147">
        <w:trPr>
          <w:jc w:val="center"/>
        </w:trPr>
        <w:tc>
          <w:tcPr>
            <w:tcW w:w="4045" w:type="dxa"/>
          </w:tcPr>
          <w:p w14:paraId="21C26381" w14:textId="77777777" w:rsidR="00E07C20" w:rsidRPr="002533A1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Who assessed student competence</w:t>
            </w:r>
            <w:r w:rsidR="00650F4D" w:rsidRPr="002533A1">
              <w:rPr>
                <w:rFonts w:ascii="Arial" w:eastAsia="Times New Roman" w:hAnsi="Arial" w:cs="Arial"/>
              </w:rPr>
              <w:t>:</w:t>
            </w:r>
          </w:p>
          <w:p w14:paraId="3E65997E" w14:textId="213637E2" w:rsidR="004D5665" w:rsidRPr="002533A1" w:rsidRDefault="004D5665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50" w:type="dxa"/>
          </w:tcPr>
          <w:p w14:paraId="6D0F31C0" w14:textId="2F389647" w:rsidR="00E07C20" w:rsidRPr="002533A1" w:rsidRDefault="004D5665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The field instructors assess student</w:t>
            </w:r>
            <w:r w:rsidR="002533A1" w:rsidRPr="002533A1">
              <w:rPr>
                <w:rFonts w:ascii="Arial" w:eastAsia="Times New Roman" w:hAnsi="Arial" w:cs="Arial"/>
              </w:rPr>
              <w:t>s’ comprehension and learning dimensions of the nine</w:t>
            </w:r>
            <w:r w:rsidRPr="002533A1">
              <w:rPr>
                <w:rFonts w:ascii="Arial" w:eastAsia="Times New Roman" w:hAnsi="Arial" w:cs="Arial"/>
              </w:rPr>
              <w:t xml:space="preserve"> </w:t>
            </w:r>
            <w:r w:rsidR="002533A1" w:rsidRPr="002533A1">
              <w:rPr>
                <w:rFonts w:ascii="Arial" w:eastAsia="Times New Roman" w:hAnsi="Arial" w:cs="Arial"/>
              </w:rPr>
              <w:t>competencies</w:t>
            </w:r>
            <w:r w:rsidRPr="002533A1">
              <w:rPr>
                <w:rFonts w:ascii="Arial" w:eastAsia="Times New Roman" w:hAnsi="Arial" w:cs="Arial"/>
              </w:rPr>
              <w:t xml:space="preserve"> during the</w:t>
            </w:r>
            <w:r w:rsidR="002533A1" w:rsidRPr="002533A1">
              <w:rPr>
                <w:rFonts w:ascii="Arial" w:eastAsia="Times New Roman" w:hAnsi="Arial" w:cs="Arial"/>
              </w:rPr>
              <w:t>ir final</w:t>
            </w:r>
            <w:r w:rsidRPr="002533A1">
              <w:rPr>
                <w:rFonts w:ascii="Arial" w:eastAsia="Times New Roman" w:hAnsi="Arial" w:cs="Arial"/>
              </w:rPr>
              <w:t xml:space="preserve"> field evaluations. This process is reviewed by faculty field liaisons. </w:t>
            </w:r>
          </w:p>
          <w:p w14:paraId="0867DDA7" w14:textId="13AF0E89" w:rsidR="004D5665" w:rsidRPr="002533A1" w:rsidRDefault="004D5665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ABE3F01" w14:textId="4118BCC9" w:rsidR="00691147" w:rsidRPr="002533A1" w:rsidRDefault="00691147" w:rsidP="004D566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533A1" w:rsidRPr="002533A1" w14:paraId="675AF237" w14:textId="77777777" w:rsidTr="00691147">
        <w:trPr>
          <w:jc w:val="center"/>
        </w:trPr>
        <w:tc>
          <w:tcPr>
            <w:tcW w:w="4045" w:type="dxa"/>
          </w:tcPr>
          <w:p w14:paraId="6646D87C" w14:textId="562CD7FE" w:rsidR="00E275E4" w:rsidRPr="002533A1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8550" w:type="dxa"/>
          </w:tcPr>
          <w:p w14:paraId="634AD5A2" w14:textId="77777777" w:rsidR="000F068A" w:rsidRPr="002533A1" w:rsidRDefault="000F068A" w:rsidP="000F068A">
            <w:pPr>
              <w:rPr>
                <w:rFonts w:ascii="Arial" w:eastAsia="Calibri" w:hAnsi="Arial" w:cs="Arial"/>
                <w:spacing w:val="-3"/>
              </w:rPr>
            </w:pPr>
            <w:r w:rsidRPr="002533A1">
              <w:rPr>
                <w:rFonts w:ascii="Arial" w:eastAsia="Calibri" w:hAnsi="Arial" w:cs="Arial"/>
                <w:spacing w:val="-3"/>
              </w:rPr>
              <w:t xml:space="preserve">Student competence is ranked on a Likert scale from 1-5 (1 = Unacceptable Progress, 2 = Insufficient Progress, 3 = Satisfactory Progress, 4 = Emerging Competence, and 5 = Competent). </w:t>
            </w:r>
          </w:p>
          <w:p w14:paraId="46EC03CF" w14:textId="77777777" w:rsidR="00E275E4" w:rsidRPr="002533A1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533A1" w:rsidRPr="002533A1" w14:paraId="1219E25C" w14:textId="77777777" w:rsidTr="00691147">
        <w:trPr>
          <w:jc w:val="center"/>
        </w:trPr>
        <w:tc>
          <w:tcPr>
            <w:tcW w:w="4045" w:type="dxa"/>
          </w:tcPr>
          <w:p w14:paraId="059DC633" w14:textId="39DA3629" w:rsidR="00F97C6E" w:rsidRPr="002533A1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Competency Benchmark (percent of students the program expects to have achieved </w:t>
            </w:r>
            <w:r w:rsidR="00440CA3" w:rsidRPr="002533A1">
              <w:rPr>
                <w:rFonts w:ascii="Arial" w:eastAsia="Times New Roman" w:hAnsi="Arial" w:cs="Arial"/>
              </w:rPr>
              <w:t xml:space="preserve">the </w:t>
            </w:r>
            <w:r w:rsidRPr="002533A1">
              <w:rPr>
                <w:rFonts w:ascii="Arial" w:eastAsia="Times New Roman" w:hAnsi="Arial" w:cs="Arial"/>
              </w:rPr>
              <w:t>minimum scores,</w:t>
            </w:r>
            <w:r w:rsidR="00440CA3" w:rsidRPr="002533A1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8550" w:type="dxa"/>
          </w:tcPr>
          <w:p w14:paraId="10C93599" w14:textId="2B3FCDCC" w:rsidR="00F97C6E" w:rsidRPr="002533A1" w:rsidRDefault="004D5665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80% of students achieved 3= Satisfactory Progress or above.</w:t>
            </w:r>
          </w:p>
        </w:tc>
      </w:tr>
      <w:tr w:rsidR="002533A1" w:rsidRPr="002533A1" w14:paraId="3E1B0935" w14:textId="77777777" w:rsidTr="00691147">
        <w:trPr>
          <w:jc w:val="center"/>
        </w:trPr>
        <w:tc>
          <w:tcPr>
            <w:tcW w:w="12595" w:type="dxa"/>
            <w:gridSpan w:val="2"/>
            <w:shd w:val="clear" w:color="auto" w:fill="E7E6E6" w:themeFill="background2"/>
          </w:tcPr>
          <w:p w14:paraId="6744310F" w14:textId="1EA82C73" w:rsidR="00A848FE" w:rsidRPr="002533A1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533A1">
              <w:rPr>
                <w:rFonts w:ascii="Arial" w:eastAsia="Times New Roman" w:hAnsi="Arial" w:cs="Arial"/>
                <w:b/>
              </w:rPr>
              <w:t>Assessment Measure #</w:t>
            </w:r>
            <w:r w:rsidR="00A5144E" w:rsidRPr="002533A1">
              <w:rPr>
                <w:rFonts w:ascii="Arial" w:eastAsia="Times New Roman" w:hAnsi="Arial" w:cs="Arial"/>
                <w:b/>
              </w:rPr>
              <w:t>2</w:t>
            </w:r>
            <w:r w:rsidRPr="002533A1">
              <w:rPr>
                <w:rFonts w:ascii="Arial" w:eastAsia="Times New Roman" w:hAnsi="Arial" w:cs="Arial"/>
                <w:b/>
              </w:rPr>
              <w:t xml:space="preserve">: </w:t>
            </w:r>
            <w:r w:rsidR="00423A6C" w:rsidRPr="002533A1">
              <w:rPr>
                <w:rFonts w:ascii="Arial" w:eastAsia="Times New Roman" w:hAnsi="Arial" w:cs="Arial"/>
                <w:b/>
              </w:rPr>
              <w:t>Senior Case Study</w:t>
            </w:r>
          </w:p>
        </w:tc>
      </w:tr>
      <w:tr w:rsidR="002533A1" w:rsidRPr="002533A1" w14:paraId="39003DF8" w14:textId="77777777" w:rsidTr="00691147">
        <w:trPr>
          <w:jc w:val="center"/>
        </w:trPr>
        <w:tc>
          <w:tcPr>
            <w:tcW w:w="4045" w:type="dxa"/>
          </w:tcPr>
          <w:p w14:paraId="5F58301A" w14:textId="77777777" w:rsidR="006A7000" w:rsidRPr="002533A1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Competency(</w:t>
            </w:r>
            <w:proofErr w:type="spellStart"/>
            <w:r w:rsidRPr="002533A1">
              <w:rPr>
                <w:rFonts w:ascii="Arial" w:eastAsia="Times New Roman" w:hAnsi="Arial" w:cs="Arial"/>
              </w:rPr>
              <w:t>ies</w:t>
            </w:r>
            <w:proofErr w:type="spellEnd"/>
            <w:r w:rsidRPr="002533A1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50" w:type="dxa"/>
          </w:tcPr>
          <w:p w14:paraId="553A4F47" w14:textId="3B1B8013" w:rsidR="006A7000" w:rsidRPr="002533A1" w:rsidRDefault="004D5665" w:rsidP="009B432E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Nine competencies</w:t>
            </w:r>
          </w:p>
        </w:tc>
      </w:tr>
      <w:tr w:rsidR="002533A1" w:rsidRPr="002533A1" w14:paraId="16F685F9" w14:textId="77777777" w:rsidTr="00691147">
        <w:trPr>
          <w:jc w:val="center"/>
        </w:trPr>
        <w:tc>
          <w:tcPr>
            <w:tcW w:w="4045" w:type="dxa"/>
          </w:tcPr>
          <w:p w14:paraId="3FDFB059" w14:textId="77777777" w:rsidR="00A848FE" w:rsidRPr="002533A1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Dimension(s) assessed:</w:t>
            </w:r>
          </w:p>
          <w:p w14:paraId="2E3D114B" w14:textId="53FA5080" w:rsidR="004D5665" w:rsidRPr="002533A1" w:rsidRDefault="004D5665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50" w:type="dxa"/>
          </w:tcPr>
          <w:p w14:paraId="7C179672" w14:textId="2F4A0499" w:rsidR="00264734" w:rsidRPr="00264734" w:rsidRDefault="0060515B" w:rsidP="00264734">
            <w:pPr>
              <w:pStyle w:val="NoSpacing"/>
              <w:rPr>
                <w:rFonts w:ascii="Arial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Knowledge, Skills, Values and Cognitive and Affective Processes are assessed in the Senior Case Study </w:t>
            </w:r>
            <w:r w:rsidRPr="00264734">
              <w:rPr>
                <w:rFonts w:ascii="Arial" w:eastAsia="Times New Roman" w:hAnsi="Arial" w:cs="Arial"/>
              </w:rPr>
              <w:t xml:space="preserve">(See </w:t>
            </w:r>
            <w:r w:rsidR="00264734" w:rsidRPr="00264734">
              <w:rPr>
                <w:rFonts w:ascii="Arial" w:hAnsi="Arial" w:cs="Arial"/>
              </w:rPr>
              <w:t>Appendix A. Final Case Presentation Assignment Description and Rubric</w:t>
            </w:r>
            <w:r w:rsidR="00264734">
              <w:rPr>
                <w:rFonts w:ascii="Arial" w:hAnsi="Arial" w:cs="Arial"/>
              </w:rPr>
              <w:t>)</w:t>
            </w:r>
          </w:p>
          <w:p w14:paraId="77CD3851" w14:textId="2FF39365" w:rsidR="00A848FE" w:rsidRPr="002533A1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533A1" w:rsidRPr="002533A1" w14:paraId="5914841C" w14:textId="77777777" w:rsidTr="00691147">
        <w:trPr>
          <w:jc w:val="center"/>
        </w:trPr>
        <w:tc>
          <w:tcPr>
            <w:tcW w:w="4045" w:type="dxa"/>
          </w:tcPr>
          <w:p w14:paraId="7585E4F8" w14:textId="77777777" w:rsidR="00A848FE" w:rsidRPr="002533A1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  <w:p w14:paraId="18858D84" w14:textId="73CCEBB0" w:rsidR="004D5665" w:rsidRPr="002533A1" w:rsidRDefault="004D5665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50" w:type="dxa"/>
          </w:tcPr>
          <w:p w14:paraId="5692CECD" w14:textId="5EDFC59F" w:rsidR="00A848FE" w:rsidRPr="002533A1" w:rsidRDefault="004D5665" w:rsidP="004D5665">
            <w:pPr>
              <w:rPr>
                <w:rFonts w:ascii="Arial" w:eastAsia="Calibri" w:hAnsi="Arial" w:cs="Arial"/>
                <w:spacing w:val="-3"/>
              </w:rPr>
            </w:pPr>
            <w:r w:rsidRPr="002533A1">
              <w:rPr>
                <w:rFonts w:ascii="Arial" w:eastAsia="Calibri" w:hAnsi="Arial" w:cs="Arial"/>
                <w:spacing w:val="-3"/>
              </w:rPr>
              <w:t xml:space="preserve">The second measure of assessment for BSW students is the Senior Case Study, due at the end of the semester. This assignment is in the form of a large paper, assigned to all seniors at midterm during their final semester in the Professionalism Course (S WK 418). Students are provided a case study, assignment description and grading rubric </w:t>
            </w:r>
            <w:r w:rsidR="00264734" w:rsidRPr="00264734">
              <w:rPr>
                <w:rFonts w:ascii="Arial" w:eastAsia="Times New Roman" w:hAnsi="Arial" w:cs="Arial"/>
              </w:rPr>
              <w:t xml:space="preserve">(See </w:t>
            </w:r>
            <w:r w:rsidR="00264734" w:rsidRPr="00264734">
              <w:rPr>
                <w:rFonts w:ascii="Arial" w:hAnsi="Arial" w:cs="Arial"/>
              </w:rPr>
              <w:t>Appendix A. Final Case Presentation Assignment Description and Rubric</w:t>
            </w:r>
            <w:r w:rsidR="00264734">
              <w:rPr>
                <w:rFonts w:ascii="Arial" w:hAnsi="Arial" w:cs="Arial"/>
              </w:rPr>
              <w:t>)</w:t>
            </w:r>
            <w:r w:rsidRPr="002533A1">
              <w:rPr>
                <w:rFonts w:ascii="Arial" w:eastAsia="Calibri" w:hAnsi="Arial" w:cs="Arial"/>
                <w:spacing w:val="-3"/>
              </w:rPr>
              <w:t xml:space="preserve"> </w:t>
            </w:r>
          </w:p>
        </w:tc>
      </w:tr>
      <w:tr w:rsidR="002533A1" w:rsidRPr="002533A1" w14:paraId="069A0065" w14:textId="77777777" w:rsidTr="00691147">
        <w:trPr>
          <w:jc w:val="center"/>
        </w:trPr>
        <w:tc>
          <w:tcPr>
            <w:tcW w:w="4045" w:type="dxa"/>
          </w:tcPr>
          <w:p w14:paraId="031D06C2" w14:textId="74F1B66C" w:rsidR="00A848FE" w:rsidRPr="002533A1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 w:rsidRPr="002533A1">
              <w:rPr>
                <w:rFonts w:ascii="Arial" w:eastAsia="Times New Roman" w:hAnsi="Arial" w:cs="Arial"/>
              </w:rPr>
              <w:t>competence</w:t>
            </w:r>
            <w:r w:rsidR="00650F4D" w:rsidRPr="002533A1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8550" w:type="dxa"/>
          </w:tcPr>
          <w:p w14:paraId="0B98F920" w14:textId="726882FE" w:rsidR="00A848FE" w:rsidRPr="002533A1" w:rsidRDefault="004D5665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The professor instructing SOWK 418 assesses student competency as demonstrated by their Senior Case Study submissions.</w:t>
            </w:r>
          </w:p>
        </w:tc>
      </w:tr>
      <w:tr w:rsidR="002533A1" w:rsidRPr="002533A1" w14:paraId="0047B7C9" w14:textId="77777777" w:rsidTr="00691147">
        <w:trPr>
          <w:jc w:val="center"/>
        </w:trPr>
        <w:tc>
          <w:tcPr>
            <w:tcW w:w="4045" w:type="dxa"/>
          </w:tcPr>
          <w:p w14:paraId="19710065" w14:textId="07E6F0B7" w:rsidR="004D5665" w:rsidRPr="002533A1" w:rsidRDefault="004D5665" w:rsidP="004D566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8550" w:type="dxa"/>
          </w:tcPr>
          <w:p w14:paraId="1F28EE39" w14:textId="7D4293C2" w:rsidR="004D5665" w:rsidRPr="002533A1" w:rsidRDefault="004D5665" w:rsidP="004D5665">
            <w:pPr>
              <w:rPr>
                <w:rFonts w:ascii="Arial" w:eastAsia="Calibri" w:hAnsi="Arial" w:cs="Arial"/>
                <w:spacing w:val="-3"/>
              </w:rPr>
            </w:pPr>
            <w:r w:rsidRPr="002533A1">
              <w:rPr>
                <w:rFonts w:ascii="Arial" w:eastAsia="Calibri" w:hAnsi="Arial" w:cs="Arial"/>
                <w:spacing w:val="-3"/>
              </w:rPr>
              <w:t xml:space="preserve">Student competence is ranked on a Likert scale from 1-5 (1 = Unacceptable Progress, 2 = Insufficient Progress, 3 = Satisfactory Progress, 4 = Emerging Competence, and 5 = Competent). </w:t>
            </w:r>
          </w:p>
        </w:tc>
      </w:tr>
      <w:tr w:rsidR="002533A1" w:rsidRPr="002533A1" w14:paraId="6CBD7A47" w14:textId="77777777" w:rsidTr="00691147">
        <w:trPr>
          <w:jc w:val="center"/>
        </w:trPr>
        <w:tc>
          <w:tcPr>
            <w:tcW w:w="4045" w:type="dxa"/>
          </w:tcPr>
          <w:p w14:paraId="40127510" w14:textId="23F0E644" w:rsidR="004D5665" w:rsidRPr="002533A1" w:rsidRDefault="004D5665" w:rsidP="004D566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8550" w:type="dxa"/>
          </w:tcPr>
          <w:p w14:paraId="1F21BF88" w14:textId="2C873384" w:rsidR="004D5665" w:rsidRPr="002533A1" w:rsidRDefault="004D5665" w:rsidP="004D5665">
            <w:pPr>
              <w:textAlignment w:val="baseline"/>
              <w:rPr>
                <w:rFonts w:ascii="Arial" w:eastAsia="Times New Roman" w:hAnsi="Arial" w:cs="Arial"/>
              </w:rPr>
            </w:pPr>
            <w:r w:rsidRPr="002533A1">
              <w:rPr>
                <w:rFonts w:ascii="Arial" w:eastAsia="Times New Roman" w:hAnsi="Arial" w:cs="Arial"/>
              </w:rPr>
              <w:t xml:space="preserve">80% of students </w:t>
            </w:r>
            <w:r w:rsidR="0060515B" w:rsidRPr="002533A1">
              <w:rPr>
                <w:rFonts w:ascii="Arial" w:eastAsia="Times New Roman" w:hAnsi="Arial" w:cs="Arial"/>
              </w:rPr>
              <w:t xml:space="preserve">to </w:t>
            </w:r>
            <w:r w:rsidRPr="002533A1">
              <w:rPr>
                <w:rFonts w:ascii="Arial" w:eastAsia="Times New Roman" w:hAnsi="Arial" w:cs="Arial"/>
              </w:rPr>
              <w:t>achieve 3= Satisfactory Progress or above.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5FBCA965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0E333E">
        <w:rPr>
          <w:rFonts w:ascii="Arial" w:eastAsia="Times New Roman" w:hAnsi="Arial" w:cs="Arial"/>
          <w:b/>
          <w:bCs/>
        </w:rPr>
        <w:t>2020-2021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0E333E" w14:paraId="55139E87" w14:textId="77777777" w:rsidTr="000E333E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0E33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 w:rsidRPr="000E333E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0E333E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0E333E" w14:paraId="5E74F410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2C058855" w:rsidR="00CB4479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 w:rsidRPr="000E333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6B4BF1E7" w14:textId="5B8C20A1" w:rsidR="000E333E" w:rsidRPr="000E333E" w:rsidRDefault="000E333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9CCA81E" w14:textId="232EE638" w:rsidR="000E333E" w:rsidRPr="000E333E" w:rsidRDefault="000E333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Measure 1: n=33</w:t>
            </w:r>
          </w:p>
          <w:p w14:paraId="2085D164" w14:textId="52FABF66" w:rsidR="0003090D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Measure 2: n=38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="00574ACB" w:rsidRPr="000E333E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0E333E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BDAC192" w14:textId="77777777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Measure 1: n=33</w:t>
            </w:r>
          </w:p>
          <w:p w14:paraId="48BEA0B3" w14:textId="1240F627" w:rsidR="00F964DF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Measure 2: n=38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 w:rsidRPr="000E333E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0E333E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0E333E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Pr="000E333E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 w:rsidRPr="000E333E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0E333E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Pr="000E333E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0E333E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0E333E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0E333E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0E333E" w:rsidRPr="000E333E" w14:paraId="61E1B245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380A99A8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61C8F978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6FABFCC3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05DD79E1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29FA273A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172A45C1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1B6EC95B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5A7B5099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64893B7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5BDDE72C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5D62AEFA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0CD37150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7394F8E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F1AE0" w14:textId="77777777" w:rsid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59365CD2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  <w:r w:rsidRPr="000E33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4739" w14:textId="77777777" w:rsid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4DEB214F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  <w:r w:rsidRPr="000E33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24967BFF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4A2430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1A56136D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 xml:space="preserve">Competency 4: Engage in </w:t>
            </w:r>
            <w:r w:rsidRPr="000E333E">
              <w:rPr>
                <w:rFonts w:ascii="Arial" w:eastAsia="Times New Roman" w:hAnsi="Arial" w:cs="Arial"/>
                <w:b/>
                <w:bCs/>
              </w:rPr>
              <w:lastRenderedPageBreak/>
              <w:t>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1322D22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lastRenderedPageBreak/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3BF494A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 w:rsidRPr="000E333E">
              <w:rPr>
                <w:rFonts w:ascii="Arial" w:eastAsia="Times New Roman" w:hAnsi="Arial" w:cs="Arial"/>
                <w:color w:val="FF0000"/>
              </w:rPr>
              <w:t>61%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02C8A693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 w:rsidRPr="000E333E">
              <w:rPr>
                <w:rFonts w:ascii="Arial" w:eastAsia="Times New Roman" w:hAnsi="Arial" w:cs="Arial"/>
                <w:color w:val="FF0000"/>
              </w:rPr>
              <w:t>61%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2405366A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5F00BE1E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11AF5D48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691EEFB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018F22E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 w:rsidRPr="000E333E">
              <w:rPr>
                <w:rFonts w:ascii="Arial" w:eastAsia="Times New Roman" w:hAnsi="Arial" w:cs="Arial"/>
                <w:color w:val="FF0000"/>
              </w:rPr>
              <w:t>78%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49979BE3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 w:rsidRPr="000E333E">
              <w:rPr>
                <w:rFonts w:ascii="Arial" w:eastAsia="Times New Roman" w:hAnsi="Arial" w:cs="Arial"/>
                <w:color w:val="FF0000"/>
              </w:rPr>
              <w:t>78%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21962EF5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BDC8DC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1B302ECC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6433D005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109189FD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4C3447DE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64EDC67D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5F8CFA4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4DE1C295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68E4435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0CA07A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3A4F6C22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2C719E8F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6B530C14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31A2E7D3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D4F1F70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35EA26B9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19E1DC5F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31D6A02A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57D03CA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0E333E" w14:paraId="3A69815C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C2F188B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D0F7192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2B92EF6D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3DDBE51E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0BB9B436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</w:p>
        </w:tc>
      </w:tr>
      <w:tr w:rsidR="000E333E" w:rsidRPr="00B979F0" w14:paraId="400F7968" w14:textId="77777777" w:rsidTr="000E333E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0E333E" w:rsidRPr="000E333E" w:rsidRDefault="000E333E" w:rsidP="000E33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  <w:b/>
                <w:bCs/>
              </w:rPr>
              <w:t>Any additional Competency(</w:t>
            </w:r>
            <w:proofErr w:type="spellStart"/>
            <w:r w:rsidRPr="000E333E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0E333E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6BF445EA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N/A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3D089AC2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483AFA1F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46FBF7D1" w:rsidR="000E333E" w:rsidRPr="000E333E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214D4A96" w:rsidR="000E333E" w:rsidRPr="00B979F0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0E333E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0E333E" w:rsidRPr="00B979F0" w:rsidRDefault="000E333E" w:rsidP="000E33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F729" w14:textId="77777777" w:rsidR="00CA5A11" w:rsidRDefault="00CA5A11" w:rsidP="005C37CC">
      <w:pPr>
        <w:spacing w:after="0" w:line="240" w:lineRule="auto"/>
      </w:pPr>
      <w:r>
        <w:separator/>
      </w:r>
    </w:p>
  </w:endnote>
  <w:endnote w:type="continuationSeparator" w:id="0">
    <w:p w14:paraId="7099CC50" w14:textId="77777777" w:rsidR="00CA5A11" w:rsidRDefault="00CA5A11" w:rsidP="005C37CC">
      <w:pPr>
        <w:spacing w:after="0" w:line="240" w:lineRule="auto"/>
      </w:pPr>
      <w:r>
        <w:continuationSeparator/>
      </w:r>
    </w:p>
  </w:endnote>
  <w:endnote w:type="continuationNotice" w:id="1">
    <w:p w14:paraId="5155549B" w14:textId="77777777" w:rsidR="00CA5A11" w:rsidRDefault="00CA5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F11A" w14:textId="77777777" w:rsidR="00CA5A11" w:rsidRDefault="00CA5A11" w:rsidP="005C37CC">
      <w:pPr>
        <w:spacing w:after="0" w:line="240" w:lineRule="auto"/>
      </w:pPr>
      <w:r>
        <w:separator/>
      </w:r>
    </w:p>
  </w:footnote>
  <w:footnote w:type="continuationSeparator" w:id="0">
    <w:p w14:paraId="3ADD02EC" w14:textId="77777777" w:rsidR="00CA5A11" w:rsidRDefault="00CA5A11" w:rsidP="005C37CC">
      <w:pPr>
        <w:spacing w:after="0" w:line="240" w:lineRule="auto"/>
      </w:pPr>
      <w:r>
        <w:continuationSeparator/>
      </w:r>
    </w:p>
  </w:footnote>
  <w:footnote w:type="continuationNotice" w:id="1">
    <w:p w14:paraId="00EBC772" w14:textId="77777777" w:rsidR="00CA5A11" w:rsidRDefault="00CA5A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333E"/>
    <w:rsid w:val="000E4348"/>
    <w:rsid w:val="000F068A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533A1"/>
    <w:rsid w:val="00262163"/>
    <w:rsid w:val="00264734"/>
    <w:rsid w:val="002665F7"/>
    <w:rsid w:val="00272ACA"/>
    <w:rsid w:val="002A5248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23AB"/>
    <w:rsid w:val="003A335F"/>
    <w:rsid w:val="003A4FBC"/>
    <w:rsid w:val="003D1950"/>
    <w:rsid w:val="003E0158"/>
    <w:rsid w:val="003E3C2B"/>
    <w:rsid w:val="003F3E86"/>
    <w:rsid w:val="00423A6C"/>
    <w:rsid w:val="00440CA3"/>
    <w:rsid w:val="004475B1"/>
    <w:rsid w:val="00452260"/>
    <w:rsid w:val="004662C0"/>
    <w:rsid w:val="00480106"/>
    <w:rsid w:val="004A3E00"/>
    <w:rsid w:val="004A4760"/>
    <w:rsid w:val="004C04EF"/>
    <w:rsid w:val="004C1563"/>
    <w:rsid w:val="004C72CD"/>
    <w:rsid w:val="004D5665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A6E9F"/>
    <w:rsid w:val="005C2F03"/>
    <w:rsid w:val="005C3038"/>
    <w:rsid w:val="005C37CC"/>
    <w:rsid w:val="005D6DD3"/>
    <w:rsid w:val="005E42B1"/>
    <w:rsid w:val="005F4C82"/>
    <w:rsid w:val="005F659E"/>
    <w:rsid w:val="006042C3"/>
    <w:rsid w:val="0060515B"/>
    <w:rsid w:val="006149DA"/>
    <w:rsid w:val="00627E10"/>
    <w:rsid w:val="006311D5"/>
    <w:rsid w:val="00650F4D"/>
    <w:rsid w:val="00660299"/>
    <w:rsid w:val="00663DAF"/>
    <w:rsid w:val="006737F1"/>
    <w:rsid w:val="00683F47"/>
    <w:rsid w:val="006911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1712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3C17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66832"/>
    <w:rsid w:val="00C72810"/>
    <w:rsid w:val="00C729E5"/>
    <w:rsid w:val="00C73207"/>
    <w:rsid w:val="00C80B2F"/>
    <w:rsid w:val="00C85A99"/>
    <w:rsid w:val="00C94814"/>
    <w:rsid w:val="00C9797F"/>
    <w:rsid w:val="00CA5A11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25FC4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6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8F634-C1D0-4F63-8960-AE666B843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Anna Nelson</cp:lastModifiedBy>
  <cp:revision>2</cp:revision>
  <dcterms:created xsi:type="dcterms:W3CDTF">2022-05-03T21:51:00Z</dcterms:created>
  <dcterms:modified xsi:type="dcterms:W3CDTF">2022-05-03T21:51:00Z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